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A479B1B">
      <w:pPr>
        <w:pStyle w:val="2"/>
        <w:spacing w:line="600" w:lineRule="exact"/>
        <w:jc w:val="center"/>
        <w:rPr>
          <w:rFonts w:ascii="宋体" w:hAnsi="宋体" w:eastAsia="宋体" w:cs="宋体"/>
          <w:b/>
          <w:sz w:val="44"/>
          <w:szCs w:val="44"/>
        </w:rPr>
      </w:pPr>
      <w:bookmarkStart w:id="1" w:name="_GoBack"/>
      <w:bookmarkEnd w:id="1"/>
    </w:p>
    <w:p w14:paraId="192EE125">
      <w:pPr>
        <w:pStyle w:val="2"/>
        <w:spacing w:line="600" w:lineRule="exact"/>
        <w:jc w:val="center"/>
        <w:rPr>
          <w:rFonts w:ascii="宋体" w:hAnsi="宋体" w:eastAsia="宋体" w:cs="宋体"/>
          <w:b/>
          <w:sz w:val="44"/>
          <w:szCs w:val="44"/>
        </w:rPr>
      </w:pPr>
    </w:p>
    <w:p w14:paraId="273FEEA9">
      <w:pPr>
        <w:pStyle w:val="2"/>
        <w:spacing w:line="600" w:lineRule="exact"/>
        <w:jc w:val="center"/>
        <w:rPr>
          <w:rFonts w:ascii="宋体" w:hAnsi="宋体" w:eastAsia="宋体" w:cs="宋体"/>
          <w:b/>
          <w:sz w:val="44"/>
          <w:szCs w:val="44"/>
        </w:rPr>
      </w:pPr>
    </w:p>
    <w:p w14:paraId="7CA86034">
      <w:pPr>
        <w:pStyle w:val="2"/>
        <w:spacing w:line="600" w:lineRule="exact"/>
        <w:jc w:val="center"/>
        <w:rPr>
          <w:rFonts w:ascii="宋体" w:hAnsi="宋体" w:eastAsia="宋体" w:cs="宋体"/>
          <w:b/>
          <w:sz w:val="44"/>
          <w:szCs w:val="44"/>
        </w:rPr>
      </w:pPr>
    </w:p>
    <w:p w14:paraId="3B1B5799">
      <w:pPr>
        <w:pStyle w:val="2"/>
        <w:spacing w:line="480" w:lineRule="auto"/>
        <w:ind w:firstLine="527"/>
        <w:jc w:val="center"/>
        <w:rPr>
          <w:rFonts w:ascii="宋体" w:hAnsi="宋体" w:eastAsia="宋体" w:cs="宋体"/>
          <w:b/>
          <w:sz w:val="52"/>
          <w:szCs w:val="52"/>
        </w:rPr>
      </w:pPr>
      <w:r>
        <w:rPr>
          <w:rFonts w:hint="eastAsia" w:ascii="宋体" w:hAnsi="宋体" w:eastAsia="宋体" w:cs="宋体"/>
          <w:b/>
          <w:sz w:val="52"/>
          <w:szCs w:val="52"/>
        </w:rPr>
        <w:t>沈阳市浑南区人民法院</w:t>
      </w:r>
    </w:p>
    <w:p w14:paraId="53096D36">
      <w:pPr>
        <w:pStyle w:val="2"/>
        <w:spacing w:line="480" w:lineRule="auto"/>
        <w:ind w:firstLine="527"/>
        <w:jc w:val="center"/>
        <w:rPr>
          <w:rFonts w:ascii="宋体" w:hAnsi="宋体" w:eastAsia="宋体" w:cs="宋体"/>
          <w:b/>
          <w:sz w:val="44"/>
          <w:szCs w:val="44"/>
        </w:rPr>
      </w:pPr>
      <w:r>
        <w:rPr>
          <w:rFonts w:hint="eastAsia" w:ascii="宋体" w:hAnsi="宋体" w:eastAsia="宋体" w:cs="宋体"/>
          <w:b/>
          <w:sz w:val="52"/>
          <w:szCs w:val="52"/>
        </w:rPr>
        <w:t>2019年部门预算</w:t>
      </w:r>
    </w:p>
    <w:p w14:paraId="0AE19D1C">
      <w:pPr>
        <w:pStyle w:val="2"/>
        <w:spacing w:line="480" w:lineRule="auto"/>
        <w:jc w:val="center"/>
        <w:rPr>
          <w:rFonts w:ascii="宋体" w:hAnsi="宋体" w:eastAsia="宋体" w:cs="宋体"/>
          <w:b/>
          <w:sz w:val="44"/>
          <w:szCs w:val="44"/>
        </w:rPr>
      </w:pPr>
      <w:r>
        <w:rPr>
          <w:rFonts w:hint="eastAsia" w:ascii="宋体" w:hAnsi="宋体" w:eastAsia="宋体"/>
          <w:b/>
          <w:sz w:val="52"/>
          <w:szCs w:val="52"/>
        </w:rPr>
        <w:t>（含“三公”经费预算）</w:t>
      </w:r>
    </w:p>
    <w:p w14:paraId="3F406737">
      <w:pPr>
        <w:pStyle w:val="2"/>
        <w:spacing w:line="600" w:lineRule="exact"/>
        <w:jc w:val="center"/>
        <w:rPr>
          <w:rFonts w:ascii="宋体" w:hAnsi="宋体" w:eastAsia="宋体" w:cs="宋体"/>
          <w:b/>
          <w:sz w:val="44"/>
          <w:szCs w:val="44"/>
        </w:rPr>
      </w:pPr>
    </w:p>
    <w:p w14:paraId="5AC8D0A7">
      <w:pPr>
        <w:pStyle w:val="2"/>
        <w:spacing w:line="600" w:lineRule="exact"/>
        <w:jc w:val="center"/>
        <w:rPr>
          <w:rFonts w:ascii="宋体" w:hAnsi="宋体" w:eastAsia="宋体" w:cs="宋体"/>
          <w:b/>
          <w:sz w:val="44"/>
          <w:szCs w:val="44"/>
        </w:rPr>
      </w:pPr>
    </w:p>
    <w:p w14:paraId="3D7E4D14">
      <w:pPr>
        <w:pStyle w:val="2"/>
        <w:spacing w:line="600" w:lineRule="exact"/>
        <w:jc w:val="center"/>
        <w:rPr>
          <w:rFonts w:ascii="宋体" w:hAnsi="宋体" w:eastAsia="宋体" w:cs="宋体"/>
          <w:b/>
          <w:sz w:val="44"/>
          <w:szCs w:val="44"/>
        </w:rPr>
      </w:pPr>
    </w:p>
    <w:p w14:paraId="7E62FA24">
      <w:pPr>
        <w:pStyle w:val="2"/>
        <w:spacing w:line="600" w:lineRule="exact"/>
        <w:jc w:val="center"/>
        <w:rPr>
          <w:rFonts w:ascii="宋体" w:hAnsi="宋体" w:eastAsia="宋体" w:cs="宋体"/>
          <w:b/>
          <w:sz w:val="44"/>
          <w:szCs w:val="44"/>
        </w:rPr>
      </w:pPr>
    </w:p>
    <w:p w14:paraId="34C65F13">
      <w:pPr>
        <w:pStyle w:val="2"/>
        <w:spacing w:line="600" w:lineRule="exact"/>
        <w:jc w:val="center"/>
        <w:rPr>
          <w:rFonts w:ascii="宋体" w:hAnsi="宋体" w:eastAsia="宋体" w:cs="宋体"/>
          <w:b/>
          <w:sz w:val="44"/>
          <w:szCs w:val="44"/>
        </w:rPr>
      </w:pPr>
    </w:p>
    <w:p w14:paraId="3F0860D8">
      <w:pPr>
        <w:pStyle w:val="2"/>
        <w:spacing w:line="600" w:lineRule="exact"/>
        <w:jc w:val="center"/>
        <w:rPr>
          <w:rFonts w:ascii="宋体" w:hAnsi="宋体" w:eastAsia="宋体" w:cs="宋体"/>
          <w:b/>
          <w:sz w:val="44"/>
          <w:szCs w:val="44"/>
        </w:rPr>
      </w:pPr>
    </w:p>
    <w:p w14:paraId="0904E26D">
      <w:pPr>
        <w:pStyle w:val="2"/>
        <w:spacing w:line="600" w:lineRule="exact"/>
        <w:jc w:val="center"/>
        <w:rPr>
          <w:rFonts w:ascii="宋体" w:hAnsi="宋体" w:eastAsia="宋体" w:cs="宋体"/>
          <w:b/>
          <w:sz w:val="44"/>
          <w:szCs w:val="44"/>
        </w:rPr>
      </w:pPr>
    </w:p>
    <w:p w14:paraId="1055DB87">
      <w:pPr>
        <w:pStyle w:val="2"/>
        <w:spacing w:line="600" w:lineRule="exact"/>
        <w:jc w:val="center"/>
        <w:rPr>
          <w:rFonts w:ascii="宋体" w:hAnsi="宋体" w:eastAsia="宋体" w:cs="宋体"/>
          <w:sz w:val="44"/>
          <w:szCs w:val="44"/>
        </w:rPr>
      </w:pPr>
    </w:p>
    <w:p w14:paraId="03C80BE4">
      <w:pPr>
        <w:pStyle w:val="2"/>
        <w:spacing w:line="600" w:lineRule="exact"/>
        <w:jc w:val="center"/>
        <w:rPr>
          <w:rFonts w:ascii="宋体" w:hAnsi="宋体" w:eastAsia="宋体" w:cs="宋体"/>
          <w:sz w:val="44"/>
          <w:szCs w:val="44"/>
        </w:rPr>
      </w:pPr>
    </w:p>
    <w:p w14:paraId="2C501157">
      <w:pPr>
        <w:pStyle w:val="2"/>
        <w:spacing w:line="600" w:lineRule="exact"/>
        <w:jc w:val="center"/>
        <w:rPr>
          <w:rFonts w:ascii="宋体" w:hAnsi="宋体" w:eastAsia="宋体" w:cs="宋体"/>
          <w:b/>
          <w:sz w:val="44"/>
          <w:szCs w:val="44"/>
        </w:rPr>
      </w:pPr>
    </w:p>
    <w:p w14:paraId="27AFAFA1">
      <w:pPr>
        <w:pStyle w:val="2"/>
        <w:spacing w:line="600" w:lineRule="exact"/>
        <w:jc w:val="center"/>
        <w:rPr>
          <w:rFonts w:ascii="宋体" w:hAnsi="宋体" w:eastAsia="宋体" w:cs="宋体"/>
          <w:b/>
          <w:sz w:val="44"/>
          <w:szCs w:val="44"/>
        </w:rPr>
      </w:pPr>
    </w:p>
    <w:p w14:paraId="359B9446">
      <w:pPr>
        <w:pStyle w:val="2"/>
        <w:spacing w:line="600" w:lineRule="exact"/>
        <w:jc w:val="center"/>
        <w:rPr>
          <w:rFonts w:ascii="宋体" w:hAnsi="宋体" w:eastAsia="宋体" w:cs="宋体"/>
          <w:b/>
          <w:sz w:val="44"/>
          <w:szCs w:val="44"/>
        </w:rPr>
      </w:pPr>
    </w:p>
    <w:p w14:paraId="0D5D64CD">
      <w:pPr>
        <w:pStyle w:val="2"/>
        <w:spacing w:line="600" w:lineRule="exact"/>
        <w:ind w:firstLine="0"/>
        <w:rPr>
          <w:rFonts w:ascii="宋体" w:hAnsi="宋体" w:eastAsia="宋体" w:cs="宋体"/>
          <w:b/>
          <w:sz w:val="44"/>
          <w:szCs w:val="44"/>
        </w:rPr>
      </w:pPr>
    </w:p>
    <w:p w14:paraId="0B230BEC">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14:paraId="663E6BF7">
      <w:pPr>
        <w:pStyle w:val="2"/>
        <w:spacing w:line="600" w:lineRule="exact"/>
        <w:jc w:val="center"/>
        <w:rPr>
          <w:rFonts w:hAnsi="宋体" w:cs="宋体"/>
          <w:b/>
          <w:color w:val="000000"/>
          <w:sz w:val="52"/>
          <w:szCs w:val="52"/>
        </w:rPr>
      </w:pPr>
    </w:p>
    <w:p w14:paraId="79982274">
      <w:pPr>
        <w:pStyle w:val="2"/>
        <w:spacing w:line="700" w:lineRule="exact"/>
        <w:ind w:firstLine="0"/>
        <w:rPr>
          <w:rFonts w:ascii="楷体_GB2312" w:eastAsia="楷体_GB2312"/>
          <w:b/>
          <w:szCs w:val="32"/>
        </w:rPr>
      </w:pPr>
      <w:r>
        <w:rPr>
          <w:rFonts w:hint="eastAsia" w:ascii="楷体_GB2312" w:eastAsia="楷体_GB2312"/>
          <w:b/>
          <w:szCs w:val="32"/>
        </w:rPr>
        <w:t>第一部分   浑南区法院概况</w:t>
      </w:r>
    </w:p>
    <w:p w14:paraId="510B9225">
      <w:pPr>
        <w:pStyle w:val="2"/>
        <w:numPr>
          <w:ilvl w:val="0"/>
          <w:numId w:val="1"/>
        </w:numPr>
        <w:spacing w:line="700" w:lineRule="exact"/>
        <w:rPr>
          <w:szCs w:val="32"/>
        </w:rPr>
      </w:pPr>
      <w:r>
        <w:rPr>
          <w:rFonts w:hint="eastAsia"/>
          <w:szCs w:val="32"/>
        </w:rPr>
        <w:t>主要职责</w:t>
      </w:r>
    </w:p>
    <w:p w14:paraId="1BA63BBE">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2BAD1073">
      <w:pPr>
        <w:pStyle w:val="2"/>
        <w:spacing w:line="700" w:lineRule="exact"/>
        <w:ind w:firstLine="0"/>
        <w:rPr>
          <w:rFonts w:ascii="楷体_GB2312" w:eastAsia="楷体_GB2312"/>
          <w:b/>
          <w:szCs w:val="32"/>
        </w:rPr>
      </w:pPr>
      <w:r>
        <w:rPr>
          <w:rFonts w:hint="eastAsia" w:ascii="楷体_GB2312" w:eastAsia="楷体_GB2312"/>
          <w:b/>
          <w:szCs w:val="32"/>
        </w:rPr>
        <w:t>第二部分   浑南区法院2019年部门预算公开表</w:t>
      </w:r>
    </w:p>
    <w:p w14:paraId="3F49BFEA">
      <w:pPr>
        <w:spacing w:line="600" w:lineRule="exact"/>
        <w:jc w:val="left"/>
        <w:rPr>
          <w:rFonts w:ascii="仿宋_GB2312" w:hAnsi="黑体" w:eastAsia="仿宋_GB2312"/>
          <w:sz w:val="32"/>
          <w:szCs w:val="32"/>
        </w:rPr>
      </w:pPr>
      <w:r>
        <w:rPr>
          <w:rFonts w:hint="eastAsia" w:ascii="仿宋_GB2312" w:hAnsi="黑体" w:eastAsia="仿宋_GB2312"/>
          <w:sz w:val="32"/>
          <w:szCs w:val="32"/>
        </w:rPr>
        <w:t>表1.部门收支总表</w:t>
      </w:r>
    </w:p>
    <w:p w14:paraId="266968E9">
      <w:pPr>
        <w:spacing w:line="600" w:lineRule="exact"/>
        <w:jc w:val="left"/>
        <w:rPr>
          <w:rFonts w:hint="eastAsia" w:ascii="仿宋_GB2312" w:hAnsi="黑体" w:eastAsia="仿宋_GB2312"/>
          <w:sz w:val="32"/>
          <w:szCs w:val="32"/>
        </w:rPr>
      </w:pPr>
      <w:r>
        <w:rPr>
          <w:rFonts w:hint="eastAsia" w:ascii="仿宋_GB2312" w:hAnsi="黑体" w:eastAsia="仿宋_GB2312"/>
          <w:sz w:val="32"/>
          <w:szCs w:val="32"/>
        </w:rPr>
        <w:t>表2.部门收入总表</w:t>
      </w:r>
    </w:p>
    <w:p w14:paraId="30694CF5">
      <w:pPr>
        <w:spacing w:line="600" w:lineRule="exact"/>
        <w:jc w:val="left"/>
        <w:rPr>
          <w:rFonts w:ascii="仿宋_GB2312" w:hAnsi="黑体" w:eastAsia="仿宋_GB2312"/>
          <w:sz w:val="32"/>
          <w:szCs w:val="32"/>
        </w:rPr>
      </w:pPr>
      <w:r>
        <w:rPr>
          <w:rFonts w:hint="eastAsia" w:ascii="仿宋_GB2312" w:hAnsi="黑体" w:eastAsia="仿宋_GB2312"/>
          <w:sz w:val="32"/>
          <w:szCs w:val="32"/>
        </w:rPr>
        <w:t>表3.部门支出总表</w:t>
      </w:r>
    </w:p>
    <w:p w14:paraId="34E5044B">
      <w:pPr>
        <w:spacing w:line="600" w:lineRule="exact"/>
        <w:jc w:val="left"/>
        <w:rPr>
          <w:rFonts w:ascii="仿宋_GB2312" w:hAnsi="黑体" w:eastAsia="仿宋_GB2312"/>
          <w:sz w:val="32"/>
          <w:szCs w:val="32"/>
        </w:rPr>
      </w:pPr>
      <w:r>
        <w:rPr>
          <w:rFonts w:hint="eastAsia" w:ascii="仿宋_GB2312" w:hAnsi="黑体" w:eastAsia="仿宋_GB2312"/>
          <w:sz w:val="32"/>
          <w:szCs w:val="32"/>
        </w:rPr>
        <w:t>表4.财政拨款收支总表</w:t>
      </w:r>
    </w:p>
    <w:p w14:paraId="34602594">
      <w:pPr>
        <w:spacing w:line="600" w:lineRule="exact"/>
        <w:jc w:val="left"/>
        <w:rPr>
          <w:rFonts w:ascii="仿宋_GB2312" w:hAnsi="黑体" w:eastAsia="仿宋_GB2312"/>
          <w:sz w:val="32"/>
          <w:szCs w:val="32"/>
        </w:rPr>
      </w:pPr>
      <w:r>
        <w:rPr>
          <w:rFonts w:hint="eastAsia" w:ascii="仿宋_GB2312" w:hAnsi="黑体" w:eastAsia="仿宋_GB2312"/>
          <w:sz w:val="32"/>
          <w:szCs w:val="32"/>
        </w:rPr>
        <w:t>表5.一般公共预算支出表</w:t>
      </w:r>
    </w:p>
    <w:p w14:paraId="64FCD615">
      <w:pPr>
        <w:spacing w:line="600" w:lineRule="exact"/>
        <w:jc w:val="left"/>
        <w:rPr>
          <w:rFonts w:ascii="仿宋_GB2312" w:hAnsi="黑体" w:eastAsia="仿宋_GB2312"/>
          <w:sz w:val="32"/>
          <w:szCs w:val="32"/>
        </w:rPr>
      </w:pPr>
      <w:r>
        <w:rPr>
          <w:rFonts w:hint="eastAsia" w:ascii="仿宋_GB2312" w:hAnsi="黑体" w:eastAsia="仿宋_GB2312"/>
          <w:sz w:val="32"/>
          <w:szCs w:val="32"/>
        </w:rPr>
        <w:t>表6.预算内财力支出预算表</w:t>
      </w:r>
    </w:p>
    <w:p w14:paraId="5635F213">
      <w:pPr>
        <w:spacing w:line="600" w:lineRule="exact"/>
        <w:jc w:val="left"/>
        <w:rPr>
          <w:rFonts w:ascii="仿宋_GB2312" w:hAnsi="黑体" w:eastAsia="仿宋_GB2312"/>
          <w:sz w:val="32"/>
          <w:szCs w:val="32"/>
        </w:rPr>
      </w:pPr>
      <w:r>
        <w:rPr>
          <w:rFonts w:hint="eastAsia" w:ascii="仿宋_GB2312" w:hAnsi="黑体" w:eastAsia="仿宋_GB2312"/>
          <w:sz w:val="32"/>
          <w:szCs w:val="32"/>
        </w:rPr>
        <w:t>表7.一般公共预算基本支出表</w:t>
      </w:r>
    </w:p>
    <w:p w14:paraId="7B7B1617">
      <w:pPr>
        <w:spacing w:line="600" w:lineRule="exact"/>
        <w:jc w:val="left"/>
        <w:rPr>
          <w:rFonts w:ascii="仿宋_GB2312" w:hAnsi="黑体" w:eastAsia="仿宋_GB2312"/>
          <w:sz w:val="32"/>
          <w:szCs w:val="32"/>
        </w:rPr>
      </w:pPr>
      <w:r>
        <w:rPr>
          <w:rFonts w:hint="eastAsia" w:ascii="仿宋_GB2312" w:hAnsi="黑体" w:eastAsia="仿宋_GB2312"/>
          <w:sz w:val="32"/>
          <w:szCs w:val="32"/>
        </w:rPr>
        <w:t>表8.政府性基金预算支出表</w:t>
      </w:r>
    </w:p>
    <w:p w14:paraId="3453F702">
      <w:pPr>
        <w:spacing w:line="600" w:lineRule="exact"/>
        <w:jc w:val="left"/>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17E699FB">
      <w:pPr>
        <w:spacing w:line="600" w:lineRule="exact"/>
        <w:jc w:val="left"/>
        <w:rPr>
          <w:rFonts w:ascii="仿宋_GB2312" w:hAnsi="黑体" w:eastAsia="仿宋_GB2312"/>
          <w:sz w:val="32"/>
          <w:szCs w:val="32"/>
        </w:rPr>
      </w:pPr>
      <w:r>
        <w:rPr>
          <w:rFonts w:hint="eastAsia" w:ascii="仿宋_GB2312" w:hAnsi="黑体" w:eastAsia="仿宋_GB2312"/>
          <w:sz w:val="32"/>
          <w:szCs w:val="32"/>
        </w:rPr>
        <w:t>表10.部门预算项目支出表</w:t>
      </w:r>
    </w:p>
    <w:p w14:paraId="629404F9">
      <w:pPr>
        <w:spacing w:line="600" w:lineRule="exact"/>
        <w:jc w:val="left"/>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7527C908">
      <w:pPr>
        <w:spacing w:line="600" w:lineRule="exact"/>
        <w:jc w:val="left"/>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76E422F2">
      <w:pPr>
        <w:pStyle w:val="2"/>
        <w:spacing w:line="700" w:lineRule="exact"/>
        <w:ind w:firstLine="0"/>
        <w:rPr>
          <w:rFonts w:ascii="楷体_GB2312" w:eastAsia="楷体_GB2312"/>
          <w:b/>
          <w:szCs w:val="32"/>
        </w:rPr>
      </w:pPr>
      <w:r>
        <w:rPr>
          <w:rFonts w:hint="eastAsia" w:ascii="楷体_GB2312" w:eastAsia="楷体_GB2312"/>
          <w:b/>
          <w:szCs w:val="32"/>
        </w:rPr>
        <w:t>第三部分   浑南区法院2019年部门预算情况说明</w:t>
      </w:r>
    </w:p>
    <w:p w14:paraId="1AB39A58">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14:paraId="4EC3704D">
      <w:pPr>
        <w:pStyle w:val="2"/>
        <w:spacing w:afterLines="150" w:line="600" w:lineRule="exact"/>
        <w:ind w:firstLine="0"/>
        <w:jc w:val="center"/>
        <w:rPr>
          <w:rFonts w:ascii="宋体" w:hAnsi="宋体" w:eastAsia="宋体"/>
          <w:b/>
          <w:bCs/>
          <w:sz w:val="36"/>
          <w:szCs w:val="36"/>
        </w:rPr>
      </w:pPr>
      <w:r>
        <w:rPr>
          <w:rFonts w:hint="eastAsia" w:ascii="宋体" w:hAnsi="宋体" w:eastAsia="宋体"/>
          <w:b/>
          <w:sz w:val="36"/>
          <w:szCs w:val="36"/>
        </w:rPr>
        <w:t>第一部分  浑南区法院</w:t>
      </w:r>
      <w:r>
        <w:rPr>
          <w:rFonts w:hint="eastAsia" w:ascii="宋体" w:hAnsi="宋体" w:eastAsia="宋体"/>
          <w:b/>
          <w:bCs/>
          <w:sz w:val="36"/>
          <w:szCs w:val="36"/>
        </w:rPr>
        <w:t>概况</w:t>
      </w:r>
    </w:p>
    <w:p w14:paraId="63977A56">
      <w:pPr>
        <w:pStyle w:val="2"/>
        <w:spacing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14:paraId="679903CD">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14:paraId="4D08BCD8">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14:paraId="759C33CA">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（一）审判法律规定，基层人民法院应当依法在职权范围内受理和审理自诉和公诉的刑事、民事、行政等第一审案件。 </w:t>
      </w:r>
    </w:p>
    <w:p w14:paraId="378E083B">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14:paraId="60CDB91E">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（三）依法决定国家赔偿。 </w:t>
      </w:r>
    </w:p>
    <w:p w14:paraId="20408DBC">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（四）行使审判监督职能。 </w:t>
      </w:r>
    </w:p>
    <w:p w14:paraId="3B31C37A">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14:paraId="1E2D50CB">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14:paraId="7ABA7A81">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14:paraId="7AC4E3A9">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14:paraId="48AD0DE0">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14:paraId="11809947">
      <w:pPr>
        <w:ind w:firstLine="1280" w:firstLineChars="400"/>
        <w:jc w:val="left"/>
        <w:rPr>
          <w:rFonts w:ascii="黑体" w:eastAsia="黑体"/>
          <w:sz w:val="32"/>
          <w:szCs w:val="32"/>
        </w:rPr>
      </w:pPr>
      <w:r>
        <w:rPr>
          <w:rFonts w:hint="eastAsia" w:ascii="黑体" w:eastAsia="黑体"/>
          <w:sz w:val="32"/>
          <w:szCs w:val="32"/>
        </w:rPr>
        <w:t>二、部门预算单位构成</w:t>
      </w:r>
    </w:p>
    <w:p w14:paraId="12C54279">
      <w:pPr>
        <w:ind w:firstLine="1280" w:firstLineChars="400"/>
        <w:jc w:val="left"/>
        <w:rPr>
          <w:rFonts w:ascii="仿宋_GB2312" w:eastAsia="仿宋_GB2312"/>
          <w:sz w:val="32"/>
          <w:szCs w:val="32"/>
        </w:rPr>
      </w:pPr>
      <w:r>
        <w:rPr>
          <w:rFonts w:hint="eastAsia" w:ascii="仿宋_GB2312" w:eastAsia="仿宋_GB2312"/>
          <w:sz w:val="32"/>
          <w:szCs w:val="32"/>
        </w:rPr>
        <w:t>纳入浑南区法院2019年部门预算编制范围的预算单位包括：</w:t>
      </w:r>
    </w:p>
    <w:p w14:paraId="36189B68">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r>
        <w:rPr>
          <w:rFonts w:hint="eastAsia" w:ascii="仿宋_GB2312" w:eastAsia="仿宋_GB2312"/>
          <w:sz w:val="32"/>
          <w:szCs w:val="32"/>
        </w:rPr>
        <w:t>1、沈阳市浑南区人民法院本级</w:t>
      </w:r>
    </w:p>
    <w:p w14:paraId="5B9699CE">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第三部分 浑南区法院</w:t>
      </w:r>
    </w:p>
    <w:p w14:paraId="47C0A3D2">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2019年部门预算情况说明</w:t>
      </w:r>
    </w:p>
    <w:p w14:paraId="7544696F">
      <w:pPr>
        <w:pStyle w:val="2"/>
        <w:spacing w:line="600" w:lineRule="exact"/>
        <w:ind w:firstLine="0"/>
        <w:jc w:val="center"/>
        <w:rPr>
          <w:rFonts w:ascii="宋体" w:hAnsi="宋体" w:eastAsia="宋体"/>
          <w:b/>
          <w:sz w:val="36"/>
          <w:szCs w:val="36"/>
        </w:rPr>
      </w:pPr>
    </w:p>
    <w:p w14:paraId="6BFD178F">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一、关于浑南区法院</w:t>
      </w:r>
      <w:r>
        <w:rPr>
          <w:rFonts w:ascii="黑体" w:hAnsi="宋体" w:eastAsia="黑体"/>
          <w:b/>
          <w:szCs w:val="32"/>
        </w:rPr>
        <w:t>201</w:t>
      </w:r>
      <w:r>
        <w:rPr>
          <w:rFonts w:hint="eastAsia" w:ascii="黑体" w:hAnsi="宋体" w:eastAsia="黑体"/>
          <w:b/>
          <w:szCs w:val="32"/>
        </w:rPr>
        <w:t>9年收支预算的总体说明</w:t>
      </w:r>
    </w:p>
    <w:p w14:paraId="0B4252B2">
      <w:pPr>
        <w:pStyle w:val="2"/>
        <w:spacing w:line="360" w:lineRule="auto"/>
        <w:ind w:firstLine="660"/>
        <w:rPr>
          <w:szCs w:val="32"/>
        </w:rPr>
      </w:pPr>
      <w:r>
        <w:rPr>
          <w:rFonts w:hint="eastAsia"/>
          <w:szCs w:val="32"/>
        </w:rPr>
        <w:t>按照综合预算的原则，浑南区</w:t>
      </w:r>
      <w:r>
        <w:rPr>
          <w:rFonts w:hint="eastAsia" w:hAnsi="宋体"/>
          <w:szCs w:val="32"/>
        </w:rPr>
        <w:t>法院</w:t>
      </w:r>
      <w:r>
        <w:rPr>
          <w:rFonts w:hint="eastAsia"/>
          <w:szCs w:val="32"/>
        </w:rPr>
        <w:t>所有收入和支出均纳入部门预算管理。收入包括：一般公共预算拨款收入、上级补助；支出包括：行政运行、一般行政管理事务、案件执行、其他法院支出、培训支出、基本养老保险、行政单位医疗、住房公积金等。浑南区法院</w:t>
      </w:r>
      <w:r>
        <w:rPr>
          <w:szCs w:val="32"/>
        </w:rPr>
        <w:t>201</w:t>
      </w:r>
      <w:r>
        <w:rPr>
          <w:rFonts w:hint="eastAsia"/>
          <w:szCs w:val="32"/>
        </w:rPr>
        <w:t>9年收支总预算5152.09万元,比2018年收支总预算4352.28万元增加了799.81万元，主要是由于2019年浑南区法院项目经费有所增加，项目支出增加。</w:t>
      </w:r>
    </w:p>
    <w:p w14:paraId="06B0DFDB">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二、关于浑南区法院</w:t>
      </w:r>
      <w:r>
        <w:rPr>
          <w:rFonts w:ascii="黑体" w:hAnsi="宋体" w:eastAsia="黑体"/>
          <w:b/>
          <w:szCs w:val="32"/>
        </w:rPr>
        <w:t>201</w:t>
      </w:r>
      <w:r>
        <w:rPr>
          <w:rFonts w:hint="eastAsia" w:ascii="黑体" w:hAnsi="宋体" w:eastAsia="黑体"/>
          <w:b/>
          <w:szCs w:val="32"/>
        </w:rPr>
        <w:t>9年“三公”经费预算情况说明</w:t>
      </w:r>
    </w:p>
    <w:p w14:paraId="27D9E8CA">
      <w:pPr>
        <w:pStyle w:val="2"/>
        <w:spacing w:line="360" w:lineRule="auto"/>
        <w:ind w:firstLine="660"/>
        <w:rPr>
          <w:szCs w:val="32"/>
        </w:rPr>
      </w:pPr>
      <w:r>
        <w:rPr>
          <w:szCs w:val="32"/>
        </w:rPr>
        <w:t>201</w:t>
      </w:r>
      <w:r>
        <w:rPr>
          <w:rFonts w:hint="eastAsia"/>
          <w:szCs w:val="32"/>
        </w:rPr>
        <w:t>9年浑南区</w:t>
      </w:r>
      <w:r>
        <w:rPr>
          <w:rFonts w:hint="eastAsia" w:hAnsi="宋体"/>
          <w:szCs w:val="32"/>
        </w:rPr>
        <w:t>法院</w:t>
      </w:r>
      <w:r>
        <w:rPr>
          <w:rFonts w:hint="eastAsia"/>
          <w:szCs w:val="32"/>
        </w:rPr>
        <w:t>“三公”经费预算安排数180.3万元，其中：</w:t>
      </w:r>
      <w:r>
        <w:rPr>
          <w:rFonts w:hint="eastAsia" w:hAnsi="宋体"/>
          <w:szCs w:val="32"/>
        </w:rPr>
        <w:t>因公出国（境）费0元；</w:t>
      </w:r>
      <w:r>
        <w:rPr>
          <w:rFonts w:hint="eastAsia"/>
          <w:szCs w:val="32"/>
        </w:rPr>
        <w:t>公务接待费2.3万元，公务用车运行费98万元，公务用车购置费80万元。</w:t>
      </w:r>
      <w:r>
        <w:rPr>
          <w:szCs w:val="32"/>
        </w:rPr>
        <w:t>201</w:t>
      </w:r>
      <w:r>
        <w:rPr>
          <w:rFonts w:hint="eastAsia"/>
          <w:szCs w:val="32"/>
        </w:rPr>
        <w:t>8年浑南区</w:t>
      </w:r>
      <w:r>
        <w:rPr>
          <w:rFonts w:hint="eastAsia" w:hAnsi="宋体"/>
          <w:szCs w:val="32"/>
        </w:rPr>
        <w:t>法院</w:t>
      </w:r>
      <w:r>
        <w:rPr>
          <w:rFonts w:hint="eastAsia"/>
          <w:szCs w:val="32"/>
        </w:rPr>
        <w:t>“三公”经费预算安排数103.12万元，其中：公务接待费</w:t>
      </w:r>
      <w:r>
        <w:rPr>
          <w:szCs w:val="32"/>
        </w:rPr>
        <w:t>5</w:t>
      </w:r>
      <w:r>
        <w:rPr>
          <w:rFonts w:hint="eastAsia"/>
          <w:szCs w:val="32"/>
        </w:rPr>
        <w:t>.12万元，公务用车运行费98万元。本年与上年度“三公”经费</w:t>
      </w:r>
      <w:r>
        <w:rPr>
          <w:rFonts w:hint="eastAsia" w:hAnsi="宋体"/>
          <w:szCs w:val="32"/>
        </w:rPr>
        <w:t>预算安排数相比增加了77.18万元，其中：公务接待费比2018年预算数减少2.82万元，主要是由于单位压缩公务接待费支出；公务用车购置费比2018年预算数增加80万元，主要是由于我院部分车辆已超年限使用，本年计划更新五台车辆。</w:t>
      </w:r>
      <w:r>
        <w:rPr>
          <w:rFonts w:hint="eastAsia"/>
          <w:szCs w:val="32"/>
        </w:rPr>
        <w:t>浑南区法院将</w:t>
      </w:r>
      <w:r>
        <w:rPr>
          <w:rFonts w:hint="eastAsia"/>
          <w:color w:val="444444"/>
          <w:shd w:val="clear" w:color="auto" w:fill="FFFFFF"/>
        </w:rPr>
        <w:t>认真贯彻落实</w:t>
      </w:r>
      <w:r>
        <w:rPr>
          <w:rFonts w:hint="eastAsia"/>
          <w:color w:val="444444"/>
          <w:shd w:val="clear" w:color="auto" w:fill="FFFFFF"/>
          <w:lang w:eastAsia="zh-CN"/>
        </w:rPr>
        <w:t>中央八项规定</w:t>
      </w:r>
      <w:r>
        <w:rPr>
          <w:rFonts w:hint="eastAsia"/>
          <w:color w:val="444444"/>
          <w:shd w:val="clear" w:color="auto" w:fill="FFFFFF"/>
        </w:rPr>
        <w:t>，严格</w:t>
      </w:r>
      <w:r>
        <w:rPr>
          <w:rFonts w:hint="eastAsia"/>
          <w:szCs w:val="32"/>
        </w:rPr>
        <w:t>按照中央及省委、省政府关于厉行节约、改进工作作风、密切联系群众等有关要求，</w:t>
      </w:r>
      <w:r>
        <w:t>规范财务管理</w:t>
      </w:r>
      <w:r>
        <w:rPr>
          <w:rFonts w:hint="eastAsia" w:ascii="仿宋" w:hAnsi="仿宋" w:eastAsia="仿宋"/>
          <w:color w:val="545454"/>
          <w:sz w:val="33"/>
          <w:szCs w:val="33"/>
          <w:shd w:val="clear" w:color="auto" w:fill="FFFFFF"/>
        </w:rPr>
        <w:t>，</w:t>
      </w:r>
      <w:r>
        <w:t>严格审批程序，</w:t>
      </w:r>
      <w:r>
        <w:rPr>
          <w:rFonts w:hint="eastAsia"/>
        </w:rPr>
        <w:t>进一步</w:t>
      </w:r>
      <w:r>
        <w:t>从紧从严 “三公”经费</w:t>
      </w:r>
      <w:r>
        <w:rPr>
          <w:rFonts w:hint="eastAsia"/>
          <w:szCs w:val="32"/>
        </w:rPr>
        <w:t>支出</w:t>
      </w:r>
      <w:r>
        <w:rPr>
          <w:rFonts w:hint="eastAsia"/>
          <w:color w:val="444444"/>
          <w:shd w:val="clear" w:color="auto" w:fill="FFFFFF"/>
        </w:rPr>
        <w:t>。</w:t>
      </w:r>
      <w:r>
        <w:rPr>
          <w:szCs w:val="32"/>
        </w:rPr>
        <w:t xml:space="preserve"> </w:t>
      </w:r>
    </w:p>
    <w:p w14:paraId="6A988F21">
      <w:pPr>
        <w:spacing w:beforeLines="50" w:line="360" w:lineRule="auto"/>
        <w:ind w:firstLine="643" w:firstLineChars="200"/>
        <w:rPr>
          <w:rFonts w:ascii="黑体" w:hAnsi="黑体" w:eastAsia="黑体"/>
          <w:b/>
          <w:sz w:val="32"/>
          <w:szCs w:val="32"/>
        </w:rPr>
      </w:pPr>
      <w:r>
        <w:rPr>
          <w:rFonts w:hint="eastAsia" w:ascii="黑体" w:hAnsi="黑体" w:eastAsia="黑体"/>
          <w:b/>
          <w:sz w:val="32"/>
          <w:szCs w:val="32"/>
        </w:rPr>
        <w:t>三、其他重要事项的情况说明</w:t>
      </w:r>
    </w:p>
    <w:p w14:paraId="5D5CD906">
      <w:pPr>
        <w:spacing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14:paraId="3770186A">
      <w:pPr>
        <w:pStyle w:val="2"/>
        <w:spacing w:before="50" w:line="360" w:lineRule="auto"/>
        <w:ind w:firstLine="640" w:firstLineChars="200"/>
        <w:rPr>
          <w:rFonts w:hAnsi="宋体"/>
          <w:szCs w:val="32"/>
        </w:rPr>
      </w:pPr>
      <w:r>
        <w:rPr>
          <w:rFonts w:hint="eastAsia" w:hAnsi="宋体"/>
          <w:szCs w:val="32"/>
        </w:rPr>
        <w:t>2019年浑南区法院的机关运行经费财政拨款预算342.04万元，比2018年预算396万元减少了53.96万元，下降13.63%。</w:t>
      </w:r>
    </w:p>
    <w:p w14:paraId="51BA993D">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1C4102FF">
      <w:pPr>
        <w:pStyle w:val="2"/>
        <w:spacing w:before="50" w:line="360" w:lineRule="auto"/>
        <w:ind w:firstLine="640" w:firstLineChars="200"/>
        <w:rPr>
          <w:rFonts w:hAnsi="宋体"/>
          <w:szCs w:val="32"/>
        </w:rPr>
      </w:pPr>
      <w:r>
        <w:rPr>
          <w:rFonts w:hint="eastAsia" w:hAnsi="宋体"/>
          <w:szCs w:val="32"/>
        </w:rPr>
        <w:t>2019年浑南区法院政府采购预算总额166.8万元，其中：政府采购货物预算140.2万元，政府购买服务预算26.6万元。</w:t>
      </w:r>
    </w:p>
    <w:p w14:paraId="3DC4F6EF">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14:paraId="2B9CAA09">
      <w:pPr>
        <w:spacing w:line="360" w:lineRule="auto"/>
        <w:ind w:firstLine="646"/>
        <w:rPr>
          <w:rFonts w:ascii="仿宋_GB2312" w:hAnsi="宋体" w:eastAsia="仿宋_GB2312"/>
          <w:sz w:val="32"/>
          <w:szCs w:val="32"/>
        </w:rPr>
      </w:pPr>
      <w:r>
        <w:rPr>
          <w:rFonts w:hint="eastAsia" w:ascii="仿宋_GB2312" w:hAnsi="宋体" w:eastAsia="仿宋_GB2312"/>
          <w:sz w:val="32"/>
          <w:szCs w:val="32"/>
        </w:rPr>
        <w:t>截至2018年底，浑南区法院共有车辆28辆，全部为执法车辆。没有单位价值100 万元以上大型设备，2019年部门预算安排更新5辆车，没有安排价值100 万元以上大型设备购置。</w:t>
      </w:r>
    </w:p>
    <w:p w14:paraId="7BC23E0F">
      <w:pPr>
        <w:spacing w:line="360" w:lineRule="auto"/>
        <w:ind w:firstLine="646"/>
        <w:rPr>
          <w:rFonts w:ascii="仿宋_GB2312" w:hAnsi="宋体" w:eastAsia="仿宋_GB2312"/>
          <w:sz w:val="32"/>
          <w:szCs w:val="32"/>
        </w:rPr>
      </w:pPr>
      <w:r>
        <w:rPr>
          <w:rFonts w:hint="eastAsia" w:ascii="仿宋_GB2312" w:hAnsi="宋体" w:eastAsia="仿宋_GB2312"/>
          <w:sz w:val="32"/>
          <w:szCs w:val="32"/>
        </w:rPr>
        <w:t>（四）绩效目标设置情况</w:t>
      </w:r>
    </w:p>
    <w:p w14:paraId="7D026E7A">
      <w:pPr>
        <w:spacing w:line="360" w:lineRule="auto"/>
        <w:ind w:firstLine="646"/>
        <w:rPr>
          <w:rFonts w:ascii="仿宋_GB2312" w:hAnsi="宋体" w:eastAsia="仿宋_GB2312"/>
          <w:sz w:val="32"/>
          <w:szCs w:val="32"/>
        </w:rPr>
      </w:pPr>
      <w:r>
        <w:rPr>
          <w:rFonts w:hint="eastAsia" w:ascii="仿宋_GB2312" w:hAnsi="宋体" w:eastAsia="仿宋_GB2312"/>
          <w:sz w:val="32"/>
          <w:szCs w:val="32"/>
        </w:rPr>
        <w:t>2019年浑南区法院预算项目均实行绩效目标管理，涉及资金1018.55万元。</w:t>
      </w:r>
    </w:p>
    <w:p w14:paraId="197990E8">
      <w:pPr>
        <w:spacing w:line="360" w:lineRule="auto"/>
        <w:ind w:firstLine="646"/>
        <w:rPr>
          <w:rFonts w:ascii="仿宋_GB2312" w:hAnsi="宋体" w:eastAsia="仿宋_GB2312"/>
          <w:sz w:val="32"/>
          <w:szCs w:val="32"/>
        </w:rPr>
      </w:pPr>
    </w:p>
    <w:p w14:paraId="070440EE">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14:paraId="4C329F4B">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14:paraId="421B5A44">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14:paraId="0B6C178B">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14:paraId="3A538CD9">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2C97494B">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14:paraId="13D47DC2">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14:paraId="775A248A">
      <w:pPr>
        <w:pStyle w:val="2"/>
        <w:spacing w:line="600" w:lineRule="exact"/>
        <w:rPr>
          <w:szCs w:val="32"/>
        </w:rPr>
      </w:pPr>
      <w:r>
        <w:rPr>
          <w:szCs w:val="32"/>
        </w:rPr>
        <w:t>7.</w:t>
      </w:r>
      <w:r>
        <w:rPr>
          <w:rFonts w:hint="eastAsia"/>
          <w:szCs w:val="32"/>
        </w:rPr>
        <w:t>公共安全支出（类）法院（款）案件执行（项）：反映人民法院对刑事、民事、行政、涉外等案件执行活动和对各种非诉执行活动的支出。</w:t>
      </w:r>
    </w:p>
    <w:p w14:paraId="0B5D361A">
      <w:pPr>
        <w:pStyle w:val="2"/>
        <w:spacing w:line="600" w:lineRule="exact"/>
        <w:rPr>
          <w:szCs w:val="32"/>
        </w:rPr>
      </w:pPr>
      <w:r>
        <w:rPr>
          <w:szCs w:val="32"/>
        </w:rPr>
        <w:t>8.</w:t>
      </w:r>
      <w:r>
        <w:rPr>
          <w:rFonts w:hint="eastAsia"/>
          <w:szCs w:val="32"/>
        </w:rPr>
        <w:t>公共安全支出（类）法院（款）其他法院支出（项）：反映上述项目以外其他用于法院方面的支出。</w:t>
      </w:r>
    </w:p>
    <w:p w14:paraId="35F4FE37">
      <w:pPr>
        <w:pStyle w:val="2"/>
        <w:spacing w:line="600" w:lineRule="exact"/>
        <w:rPr>
          <w:szCs w:val="32"/>
        </w:rPr>
      </w:pPr>
      <w:r>
        <w:rPr>
          <w:szCs w:val="32"/>
        </w:rPr>
        <w:t>9</w:t>
      </w:r>
      <w:r>
        <w:rPr>
          <w:rFonts w:hint="eastAsia"/>
          <w:szCs w:val="32"/>
        </w:rPr>
        <w:t>．教育支出（类）进修及培训（款）培训支出（项）：反映各部门安排的用于培训的支出。教育部门的师资培训、党校、行政学院等专业干部教育机构的支出，以及退役士兵、转业士官的培训支出，不在本科目反映。</w:t>
      </w:r>
    </w:p>
    <w:p w14:paraId="1AFC9AA9">
      <w:pPr>
        <w:pStyle w:val="2"/>
        <w:spacing w:line="600" w:lineRule="exact"/>
        <w:rPr>
          <w:szCs w:val="32"/>
        </w:rPr>
      </w:pPr>
      <w:r>
        <w:rPr>
          <w:rFonts w:hint="eastAsia"/>
          <w:szCs w:val="32"/>
        </w:rPr>
        <w:t>10．社会保险基金支出（类）基本养老保险基金支出（款）基本养老金（项）：反映行政事业单位按人力资源和社会保障、财政部规定的基本工资和津贴补贴以及规定比例为职工缴纳的养老保险。</w:t>
      </w:r>
    </w:p>
    <w:p w14:paraId="2EE85364">
      <w:pPr>
        <w:pStyle w:val="2"/>
        <w:spacing w:line="600" w:lineRule="exact"/>
        <w:rPr>
          <w:szCs w:val="32"/>
        </w:rPr>
      </w:pPr>
      <w:r>
        <w:rPr>
          <w:szCs w:val="32"/>
        </w:rPr>
        <w:t>1</w:t>
      </w:r>
      <w:r>
        <w:rPr>
          <w:rFonts w:hint="eastAsia"/>
          <w:szCs w:val="32"/>
        </w:rPr>
        <w:t>1</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78C227D9">
      <w:pPr>
        <w:pStyle w:val="2"/>
        <w:spacing w:line="600" w:lineRule="exact"/>
        <w:rPr>
          <w:b/>
          <w:sz w:val="36"/>
          <w:szCs w:val="36"/>
        </w:rPr>
      </w:pPr>
      <w:r>
        <w:rPr>
          <w:szCs w:val="32"/>
        </w:rPr>
        <w:t>1</w:t>
      </w:r>
      <w:r>
        <w:rPr>
          <w:rFonts w:hint="eastAsia"/>
          <w:szCs w:val="32"/>
        </w:rPr>
        <w:t>2</w:t>
      </w:r>
      <w:r>
        <w:rPr>
          <w:szCs w:val="32"/>
        </w:rPr>
        <w:t>.</w:t>
      </w:r>
      <w:r>
        <w:rPr>
          <w:rFonts w:hint="eastAsia"/>
          <w:szCs w:val="32"/>
        </w:rPr>
        <w:t>住房保障（类）住房改革（款）住房公积金（项）：反映行政事业单位按人力资源和社会保障、财政部规定的基本工资和津贴补贴以及规定比例为职工缴纳的住房公积金。</w:t>
      </w:r>
    </w:p>
    <w:p w14:paraId="28894E60">
      <w:pPr>
        <w:pStyle w:val="2"/>
        <w:spacing w:line="600" w:lineRule="exact"/>
        <w:ind w:firstLine="630" w:firstLineChars="196"/>
        <w:rPr>
          <w:rFonts w:ascii="黑体" w:hAnsi="宋体" w:eastAsia="黑体"/>
          <w:b/>
          <w:szCs w:val="32"/>
        </w:rPr>
      </w:pPr>
    </w:p>
    <w:p w14:paraId="0C85F51D">
      <w:pPr>
        <w:pStyle w:val="2"/>
        <w:spacing w:line="600" w:lineRule="exact"/>
        <w:ind w:firstLine="0"/>
        <w:rPr>
          <w:b/>
          <w:szCs w:val="32"/>
        </w:rPr>
      </w:pPr>
    </w:p>
    <w:p w14:paraId="3A6E9DC4">
      <w:pPr>
        <w:pStyle w:val="2"/>
        <w:spacing w:line="600" w:lineRule="exact"/>
        <w:ind w:firstLine="0"/>
        <w:rPr>
          <w:b/>
          <w:szCs w:val="32"/>
        </w:rPr>
      </w:pPr>
    </w:p>
    <w:p w14:paraId="2FDBACA9">
      <w:pPr>
        <w:pStyle w:val="2"/>
        <w:spacing w:line="600" w:lineRule="exact"/>
        <w:ind w:firstLine="5923" w:firstLineChars="1851"/>
        <w:jc w:val="right"/>
        <w:rPr>
          <w:szCs w:val="32"/>
        </w:rPr>
      </w:pPr>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442AF">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w:t>
    </w:r>
    <w:r>
      <w:fldChar w:fldCharType="end"/>
    </w:r>
  </w:p>
  <w:p w14:paraId="001BA466">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CC7EE">
    <w:pPr>
      <w:pStyle w:val="5"/>
      <w:framePr w:wrap="around" w:vAnchor="text" w:hAnchor="margin" w:xAlign="right" w:y="1"/>
      <w:rPr>
        <w:rStyle w:val="9"/>
      </w:rPr>
    </w:pPr>
    <w:r>
      <w:fldChar w:fldCharType="begin"/>
    </w:r>
    <w:r>
      <w:rPr>
        <w:rStyle w:val="9"/>
      </w:rPr>
      <w:instrText xml:space="preserve">PAGE  </w:instrText>
    </w:r>
    <w:r>
      <w:fldChar w:fldCharType="end"/>
    </w:r>
  </w:p>
  <w:p w14:paraId="0AA60D42">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714A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ZiZTQ3ZmI1OTFmODUzNzgwMGRlNDBmMWZiZDQzMjEifQ=="/>
  </w:docVars>
  <w:rsids>
    <w:rsidRoot w:val="00172A27"/>
    <w:rsid w:val="00023DFB"/>
    <w:rsid w:val="0002454D"/>
    <w:rsid w:val="00025BD9"/>
    <w:rsid w:val="00067A17"/>
    <w:rsid w:val="000A1CA9"/>
    <w:rsid w:val="000C7BCC"/>
    <w:rsid w:val="000C7EB7"/>
    <w:rsid w:val="000E1D59"/>
    <w:rsid w:val="000E5E20"/>
    <w:rsid w:val="00106E3E"/>
    <w:rsid w:val="00146AA6"/>
    <w:rsid w:val="001561F9"/>
    <w:rsid w:val="0016584F"/>
    <w:rsid w:val="00172A27"/>
    <w:rsid w:val="001759DB"/>
    <w:rsid w:val="00175D25"/>
    <w:rsid w:val="0018735A"/>
    <w:rsid w:val="001913D6"/>
    <w:rsid w:val="00193BE5"/>
    <w:rsid w:val="00194EC8"/>
    <w:rsid w:val="001A14C9"/>
    <w:rsid w:val="001B38F8"/>
    <w:rsid w:val="001E3C7C"/>
    <w:rsid w:val="001E5911"/>
    <w:rsid w:val="00216942"/>
    <w:rsid w:val="0022062D"/>
    <w:rsid w:val="00241EE9"/>
    <w:rsid w:val="002521D5"/>
    <w:rsid w:val="00256283"/>
    <w:rsid w:val="002731C5"/>
    <w:rsid w:val="002915FC"/>
    <w:rsid w:val="002A4846"/>
    <w:rsid w:val="002A5A46"/>
    <w:rsid w:val="002A778E"/>
    <w:rsid w:val="002B7093"/>
    <w:rsid w:val="002C006A"/>
    <w:rsid w:val="002C085B"/>
    <w:rsid w:val="002E0553"/>
    <w:rsid w:val="002F7937"/>
    <w:rsid w:val="00310ABA"/>
    <w:rsid w:val="00316C65"/>
    <w:rsid w:val="00322A43"/>
    <w:rsid w:val="00322E8D"/>
    <w:rsid w:val="003238C6"/>
    <w:rsid w:val="00332912"/>
    <w:rsid w:val="00337271"/>
    <w:rsid w:val="00344B99"/>
    <w:rsid w:val="003471E5"/>
    <w:rsid w:val="00352FE6"/>
    <w:rsid w:val="00361801"/>
    <w:rsid w:val="00375881"/>
    <w:rsid w:val="00376940"/>
    <w:rsid w:val="003A5B53"/>
    <w:rsid w:val="003B4989"/>
    <w:rsid w:val="003D15CE"/>
    <w:rsid w:val="003D1C0E"/>
    <w:rsid w:val="003E0668"/>
    <w:rsid w:val="004102E1"/>
    <w:rsid w:val="00410CDE"/>
    <w:rsid w:val="00412468"/>
    <w:rsid w:val="004546B3"/>
    <w:rsid w:val="00456D86"/>
    <w:rsid w:val="00467059"/>
    <w:rsid w:val="0047556C"/>
    <w:rsid w:val="00480B96"/>
    <w:rsid w:val="00490F26"/>
    <w:rsid w:val="004A5B82"/>
    <w:rsid w:val="004C61F6"/>
    <w:rsid w:val="004E650D"/>
    <w:rsid w:val="004F74FE"/>
    <w:rsid w:val="00511499"/>
    <w:rsid w:val="00515B10"/>
    <w:rsid w:val="005411AC"/>
    <w:rsid w:val="0054326E"/>
    <w:rsid w:val="00550B92"/>
    <w:rsid w:val="00587950"/>
    <w:rsid w:val="005A792A"/>
    <w:rsid w:val="005B3985"/>
    <w:rsid w:val="005C48C2"/>
    <w:rsid w:val="005D09D2"/>
    <w:rsid w:val="005D353C"/>
    <w:rsid w:val="005E439F"/>
    <w:rsid w:val="005E6EF7"/>
    <w:rsid w:val="005F70DE"/>
    <w:rsid w:val="00602193"/>
    <w:rsid w:val="0060753E"/>
    <w:rsid w:val="00624287"/>
    <w:rsid w:val="00636E0E"/>
    <w:rsid w:val="00644F06"/>
    <w:rsid w:val="00660CFA"/>
    <w:rsid w:val="00690F4C"/>
    <w:rsid w:val="00691C8A"/>
    <w:rsid w:val="006955E1"/>
    <w:rsid w:val="006A2AE4"/>
    <w:rsid w:val="006A6A32"/>
    <w:rsid w:val="006B14D9"/>
    <w:rsid w:val="006B1E46"/>
    <w:rsid w:val="006B719E"/>
    <w:rsid w:val="006D70D9"/>
    <w:rsid w:val="006E3CC0"/>
    <w:rsid w:val="007075EB"/>
    <w:rsid w:val="00716F01"/>
    <w:rsid w:val="00721B60"/>
    <w:rsid w:val="007270B1"/>
    <w:rsid w:val="00727210"/>
    <w:rsid w:val="007606BE"/>
    <w:rsid w:val="00762CB8"/>
    <w:rsid w:val="007710FA"/>
    <w:rsid w:val="00772877"/>
    <w:rsid w:val="00774643"/>
    <w:rsid w:val="007979DA"/>
    <w:rsid w:val="007A468A"/>
    <w:rsid w:val="007B4700"/>
    <w:rsid w:val="007B699A"/>
    <w:rsid w:val="007B7F93"/>
    <w:rsid w:val="007C47F1"/>
    <w:rsid w:val="007D172B"/>
    <w:rsid w:val="00802605"/>
    <w:rsid w:val="0082447B"/>
    <w:rsid w:val="0086188E"/>
    <w:rsid w:val="00882155"/>
    <w:rsid w:val="00885285"/>
    <w:rsid w:val="00887307"/>
    <w:rsid w:val="00887CE1"/>
    <w:rsid w:val="008C2F8B"/>
    <w:rsid w:val="008D5080"/>
    <w:rsid w:val="008E1298"/>
    <w:rsid w:val="008E7D90"/>
    <w:rsid w:val="008F3FE4"/>
    <w:rsid w:val="00903E8C"/>
    <w:rsid w:val="0090610B"/>
    <w:rsid w:val="0092027A"/>
    <w:rsid w:val="00930FBA"/>
    <w:rsid w:val="00977247"/>
    <w:rsid w:val="009831FF"/>
    <w:rsid w:val="00997570"/>
    <w:rsid w:val="009A49B1"/>
    <w:rsid w:val="009B65E6"/>
    <w:rsid w:val="009B6A31"/>
    <w:rsid w:val="009D2227"/>
    <w:rsid w:val="009D3EDF"/>
    <w:rsid w:val="009E0475"/>
    <w:rsid w:val="009F3C60"/>
    <w:rsid w:val="00A04B99"/>
    <w:rsid w:val="00A2145A"/>
    <w:rsid w:val="00A41362"/>
    <w:rsid w:val="00A60A24"/>
    <w:rsid w:val="00A63646"/>
    <w:rsid w:val="00A6714F"/>
    <w:rsid w:val="00A74B07"/>
    <w:rsid w:val="00A76C07"/>
    <w:rsid w:val="00A94675"/>
    <w:rsid w:val="00AB1BDB"/>
    <w:rsid w:val="00AD1ABA"/>
    <w:rsid w:val="00AD29BD"/>
    <w:rsid w:val="00AF2BE8"/>
    <w:rsid w:val="00B02B30"/>
    <w:rsid w:val="00B2451E"/>
    <w:rsid w:val="00B36A4C"/>
    <w:rsid w:val="00B40BDD"/>
    <w:rsid w:val="00B42F7E"/>
    <w:rsid w:val="00B52230"/>
    <w:rsid w:val="00B55537"/>
    <w:rsid w:val="00B720E8"/>
    <w:rsid w:val="00B74378"/>
    <w:rsid w:val="00B868AB"/>
    <w:rsid w:val="00BA304F"/>
    <w:rsid w:val="00BB0F74"/>
    <w:rsid w:val="00BB1DD9"/>
    <w:rsid w:val="00BB7C7E"/>
    <w:rsid w:val="00BD482C"/>
    <w:rsid w:val="00BD5922"/>
    <w:rsid w:val="00BF6E5A"/>
    <w:rsid w:val="00BF7DBA"/>
    <w:rsid w:val="00C2119B"/>
    <w:rsid w:val="00C2431A"/>
    <w:rsid w:val="00C34DC0"/>
    <w:rsid w:val="00C447E5"/>
    <w:rsid w:val="00C54958"/>
    <w:rsid w:val="00C57068"/>
    <w:rsid w:val="00C57AA9"/>
    <w:rsid w:val="00C87D47"/>
    <w:rsid w:val="00C92912"/>
    <w:rsid w:val="00CA5268"/>
    <w:rsid w:val="00CB2F5F"/>
    <w:rsid w:val="00CB74A0"/>
    <w:rsid w:val="00CD64D8"/>
    <w:rsid w:val="00D027FA"/>
    <w:rsid w:val="00D15975"/>
    <w:rsid w:val="00D169B4"/>
    <w:rsid w:val="00D200E8"/>
    <w:rsid w:val="00D25EED"/>
    <w:rsid w:val="00D40C4C"/>
    <w:rsid w:val="00D41BA3"/>
    <w:rsid w:val="00D56683"/>
    <w:rsid w:val="00D67793"/>
    <w:rsid w:val="00D728FE"/>
    <w:rsid w:val="00D9627F"/>
    <w:rsid w:val="00DE2131"/>
    <w:rsid w:val="00DE6A93"/>
    <w:rsid w:val="00DF51F7"/>
    <w:rsid w:val="00E00ABF"/>
    <w:rsid w:val="00E01061"/>
    <w:rsid w:val="00E02931"/>
    <w:rsid w:val="00E05AA4"/>
    <w:rsid w:val="00E37929"/>
    <w:rsid w:val="00E41767"/>
    <w:rsid w:val="00E41B55"/>
    <w:rsid w:val="00E44C7D"/>
    <w:rsid w:val="00E45B29"/>
    <w:rsid w:val="00E477FF"/>
    <w:rsid w:val="00E52789"/>
    <w:rsid w:val="00E73344"/>
    <w:rsid w:val="00E949CD"/>
    <w:rsid w:val="00EA7F46"/>
    <w:rsid w:val="00EB3E30"/>
    <w:rsid w:val="00EB4DF2"/>
    <w:rsid w:val="00EC7478"/>
    <w:rsid w:val="00ED5584"/>
    <w:rsid w:val="00EE4742"/>
    <w:rsid w:val="00EE4BD0"/>
    <w:rsid w:val="00F13601"/>
    <w:rsid w:val="00F1768F"/>
    <w:rsid w:val="00F25709"/>
    <w:rsid w:val="00F30839"/>
    <w:rsid w:val="00F31CA1"/>
    <w:rsid w:val="00F62A4F"/>
    <w:rsid w:val="00F65E48"/>
    <w:rsid w:val="00F67D7B"/>
    <w:rsid w:val="00FA6B9B"/>
    <w:rsid w:val="00FB024F"/>
    <w:rsid w:val="00FB0B06"/>
    <w:rsid w:val="00FB1001"/>
    <w:rsid w:val="00FB5D04"/>
    <w:rsid w:val="00FC0BBB"/>
    <w:rsid w:val="00FC3D2C"/>
    <w:rsid w:val="00FD7FAB"/>
    <w:rsid w:val="00FF0B4F"/>
    <w:rsid w:val="47782FF0"/>
    <w:rsid w:val="77A8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2"/>
    <w:autoRedefine/>
    <w:qFormat/>
    <w:uiPriority w:val="0"/>
    <w:pPr>
      <w:spacing w:line="540" w:lineRule="exact"/>
      <w:ind w:firstLine="525"/>
    </w:pPr>
    <w:rPr>
      <w:rFonts w:ascii="仿宋_GB2312" w:eastAsia="仿宋_GB2312"/>
      <w:sz w:val="32"/>
    </w:rPr>
  </w:style>
  <w:style w:type="paragraph" w:styleId="3">
    <w:name w:val="Body Text Indent 2"/>
    <w:basedOn w:val="1"/>
    <w:qFormat/>
    <w:uiPriority w:val="0"/>
    <w:pPr>
      <w:spacing w:line="540" w:lineRule="exact"/>
      <w:ind w:firstLine="420"/>
    </w:pPr>
    <w:rPr>
      <w:rFonts w:ascii="仿宋_GB2312" w:eastAsia="仿宋_GB2312"/>
      <w:sz w:val="32"/>
    </w:rPr>
  </w:style>
  <w:style w:type="paragraph" w:styleId="4">
    <w:name w:val="Balloon Text"/>
    <w:basedOn w:val="1"/>
    <w:semiHidden/>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autoRedefine/>
    <w:qFormat/>
    <w:uiPriority w:val="0"/>
  </w:style>
  <w:style w:type="paragraph" w:customStyle="1" w:styleId="10">
    <w:name w:val="列出段落1"/>
    <w:basedOn w:val="1"/>
    <w:autoRedefine/>
    <w:uiPriority w:val="0"/>
    <w:pPr>
      <w:ind w:firstLine="420" w:firstLineChars="200"/>
    </w:pPr>
  </w:style>
  <w:style w:type="paragraph" w:customStyle="1" w:styleId="11">
    <w:name w:val="正文文本缩进1"/>
    <w:basedOn w:val="1"/>
    <w:autoRedefine/>
    <w:qFormat/>
    <w:uiPriority w:val="0"/>
    <w:pPr>
      <w:spacing w:line="540" w:lineRule="exact"/>
      <w:ind w:firstLine="525"/>
    </w:pPr>
    <w:rPr>
      <w:rFonts w:ascii="仿宋_GB2312" w:eastAsia="仿宋_GB2312"/>
      <w:sz w:val="32"/>
    </w:rPr>
  </w:style>
  <w:style w:type="character" w:customStyle="1" w:styleId="12">
    <w:name w:val="正文文本缩进 Char"/>
    <w:basedOn w:val="8"/>
    <w:link w:val="2"/>
    <w:autoRedefine/>
    <w:semiHidden/>
    <w:qFormat/>
    <w:locked/>
    <w:uiPriority w:val="0"/>
    <w:rPr>
      <w:rFonts w:ascii="仿宋_GB2312" w:eastAsia="仿宋_GB2312"/>
      <w:kern w:val="2"/>
      <w:sz w:val="32"/>
      <w:szCs w:val="24"/>
      <w:lang w:val="en-US" w:eastAsia="zh-CN" w:bidi="ar-SA"/>
    </w:rPr>
  </w:style>
  <w:style w:type="paragraph" w:customStyle="1" w:styleId="13">
    <w:name w:val="Char Char1"/>
    <w:basedOn w:val="1"/>
    <w:autoRedefine/>
    <w:uiPriority w:val="0"/>
    <w:pPr>
      <w:widowControl/>
      <w:jc w:val="left"/>
    </w:pPr>
    <w:rPr>
      <w:rFonts w:ascii="Verdana" w:hAnsi="Verdana" w:eastAsia="仿宋_GB2312"/>
      <w:kern w:val="0"/>
      <w:sz w:val="28"/>
      <w:szCs w:val="20"/>
      <w:lang w:eastAsia="en-US"/>
    </w:rPr>
  </w:style>
  <w:style w:type="paragraph" w:customStyle="1" w:styleId="14">
    <w:name w:val="Char Char11"/>
    <w:basedOn w:val="1"/>
    <w:autoRedefine/>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autoRedefine/>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EBAB0-3673-4C12-9DC1-5ED82342CF9F}">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2356</Words>
  <Characters>2524</Characters>
  <Lines>18</Lines>
  <Paragraphs>5</Paragraphs>
  <TotalTime>329</TotalTime>
  <ScaleCrop>false</ScaleCrop>
  <LinksUpToDate>false</LinksUpToDate>
  <CharactersWithSpaces>2557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2019-01-25T01:14:00Z</dcterms:created>
  <dc:creator>微软用户</dc:creator>
  <cp:lastModifiedBy>杨洋</cp:lastModifiedBy>
  <cp:lastPrinted>2016-02-19T02:52:00Z</cp:lastPrinted>
  <dcterms:modified xsi:type="dcterms:W3CDTF">2025-09-25T06:02:56Z</dcterms:modified>
  <dc:title>风雨坛街道办事处</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D9E06C5D8C1A4285872758D9B71FB024_12</vt:lpwstr>
  </property>
  <property fmtid="{D5CDD505-2E9C-101B-9397-08002B2CF9AE}" pid="4" name="KSOTemplateDocerSaveRecord">
    <vt:lpwstr>eyJoZGlkIjoiNzZiZTQ3ZmI1OTFmODUzNzgwMGRlNDBmMWZiZDQzMjEiLCJ1c2VySWQiOiIyMzQ0MjI2NjQifQ==</vt:lpwstr>
  </property>
</Properties>
</file>